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B352AE" w:rsidRDefault="00EA0786" w:rsidP="00B352AE">
      <w:pPr>
        <w:tabs>
          <w:tab w:val="right" w:leader="hyphen" w:pos="8931"/>
        </w:tabs>
        <w:spacing w:after="0" w:line="360" w:lineRule="auto"/>
        <w:ind w:right="-91"/>
        <w:jc w:val="both"/>
        <w:rPr>
          <w:rFonts w:ascii="Arial" w:eastAsia="Times New Roman" w:hAnsi="Arial" w:cs="Arial"/>
          <w:b/>
          <w:lang w:eastAsia="es-ES"/>
        </w:rPr>
      </w:pPr>
      <w:r w:rsidRPr="00B352AE">
        <w:rPr>
          <w:rFonts w:ascii="Arial" w:hAnsi="Arial" w:cs="Arial"/>
          <w:noProof/>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align>right</wp:align>
                </wp:positionH>
                <wp:positionV relativeFrom="paragraph">
                  <wp:posOffset>0</wp:posOffset>
                </wp:positionV>
                <wp:extent cx="3009265" cy="2352675"/>
                <wp:effectExtent l="0" t="0" r="63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352675"/>
                        </a:xfrm>
                        <a:prstGeom prst="rect">
                          <a:avLst/>
                        </a:prstGeom>
                        <a:solidFill>
                          <a:srgbClr val="FFFFFF"/>
                        </a:solidFill>
                        <a:ln w="9525">
                          <a:noFill/>
                          <a:miter lim="800000"/>
                          <a:headEnd/>
                          <a:tailEnd/>
                        </a:ln>
                      </wps:spPr>
                      <wps:txb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9B7F62">
                              <w:rPr>
                                <w:rFonts w:ascii="Arial" w:hAnsi="Arial" w:cs="Arial"/>
                                <w:sz w:val="24"/>
                                <w:szCs w:val="24"/>
                              </w:rPr>
                              <w:t>3</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0" w:name="_Hlk515878853"/>
                            <w:r w:rsidR="009B7F62" w:rsidRPr="009B7F62">
                              <w:rPr>
                                <w:rFonts w:ascii="Arial" w:hAnsi="Arial" w:cs="Arial"/>
                                <w:sz w:val="24"/>
                                <w:szCs w:val="24"/>
                              </w:rPr>
                              <w:t>Lic. Jorge Venegas Romero</w:t>
                            </w:r>
                            <w:r w:rsidR="004243E6">
                              <w:rPr>
                                <w:rFonts w:ascii="Arial" w:hAnsi="Arial" w:cs="Arial"/>
                                <w:sz w:val="24"/>
                                <w:szCs w:val="24"/>
                              </w:rPr>
                              <w:t xml:space="preserve">, en su </w:t>
                            </w:r>
                            <w:r>
                              <w:rPr>
                                <w:rFonts w:ascii="Arial" w:hAnsi="Arial" w:cs="Arial"/>
                                <w:sz w:val="24"/>
                                <w:szCs w:val="24"/>
                              </w:rPr>
                              <w:t xml:space="preserve">carácter de Representante Propietario del Partido </w:t>
                            </w:r>
                            <w:r w:rsidR="009B7F62">
                              <w:rPr>
                                <w:rFonts w:ascii="Arial" w:hAnsi="Arial" w:cs="Arial"/>
                                <w:sz w:val="24"/>
                                <w:szCs w:val="24"/>
                              </w:rPr>
                              <w:t>Verde Ecologista de México ante</w:t>
                            </w:r>
                            <w:r>
                              <w:rPr>
                                <w:rFonts w:ascii="Arial" w:hAnsi="Arial" w:cs="Arial"/>
                                <w:sz w:val="24"/>
                                <w:szCs w:val="24"/>
                              </w:rPr>
                              <w:t xml:space="preserve"> el </w:t>
                            </w:r>
                            <w:r w:rsidR="009B7F62">
                              <w:rPr>
                                <w:rFonts w:ascii="Arial" w:hAnsi="Arial" w:cs="Arial"/>
                                <w:sz w:val="24"/>
                                <w:szCs w:val="24"/>
                              </w:rPr>
                              <w:t>Consejo General del IEE.</w:t>
                            </w:r>
                          </w:p>
                          <w:bookmarkEnd w:id="0"/>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85.75pt;margin-top:0;width:236.95pt;height:18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" stroked="f">
                <v:textbox>
                  <w:txbxContent>
                    <w:p w:rsidR="009A15B4" w:rsidRPr="00A500DB" w:rsidRDefault="00911103" w:rsidP="00EA0786">
                      <w:pPr>
                        <w:jc w:val="both"/>
                        <w:rPr>
                          <w:rFonts w:ascii="Arial" w:hAnsi="Arial" w:cs="Arial"/>
                          <w:b/>
                          <w:sz w:val="24"/>
                          <w:szCs w:val="24"/>
                        </w:rPr>
                      </w:pPr>
                      <w:r>
                        <w:rPr>
                          <w:rFonts w:ascii="Arial" w:hAnsi="Arial" w:cs="Arial"/>
                          <w:b/>
                          <w:sz w:val="24"/>
                          <w:szCs w:val="24"/>
                        </w:rPr>
                        <w:t>Recurso de Nulidad</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w:t>
                      </w:r>
                      <w:r w:rsidR="00F85A1E">
                        <w:rPr>
                          <w:rFonts w:ascii="Arial" w:hAnsi="Arial" w:cs="Arial"/>
                          <w:sz w:val="24"/>
                          <w:szCs w:val="24"/>
                        </w:rPr>
                        <w:t>REN</w:t>
                      </w:r>
                      <w:r w:rsidRPr="00A500DB">
                        <w:rPr>
                          <w:rFonts w:ascii="Arial" w:hAnsi="Arial" w:cs="Arial"/>
                          <w:sz w:val="24"/>
                          <w:szCs w:val="24"/>
                        </w:rPr>
                        <w:t>-</w:t>
                      </w:r>
                      <w:r w:rsidR="00F85A1E">
                        <w:rPr>
                          <w:rFonts w:ascii="Arial" w:hAnsi="Arial" w:cs="Arial"/>
                          <w:sz w:val="24"/>
                          <w:szCs w:val="24"/>
                        </w:rPr>
                        <w:t>00</w:t>
                      </w:r>
                      <w:r w:rsidR="009B7F62">
                        <w:rPr>
                          <w:rFonts w:ascii="Arial" w:hAnsi="Arial" w:cs="Arial"/>
                          <w:sz w:val="24"/>
                          <w:szCs w:val="24"/>
                        </w:rPr>
                        <w:t>3</w:t>
                      </w:r>
                      <w:r w:rsidRPr="00A500DB">
                        <w:rPr>
                          <w:rFonts w:ascii="Arial" w:hAnsi="Arial" w:cs="Arial"/>
                          <w:sz w:val="24"/>
                          <w:szCs w:val="24"/>
                        </w:rPr>
                        <w:t>/2018</w:t>
                      </w:r>
                    </w:p>
                    <w:p w:rsidR="009A15B4" w:rsidRPr="00A500DB" w:rsidRDefault="00F85A1E" w:rsidP="00EA0786">
                      <w:pPr>
                        <w:jc w:val="both"/>
                        <w:rPr>
                          <w:rFonts w:ascii="Arial" w:hAnsi="Arial" w:cs="Arial"/>
                          <w:b/>
                          <w:sz w:val="24"/>
                          <w:szCs w:val="24"/>
                        </w:rPr>
                      </w:pPr>
                      <w:r>
                        <w:rPr>
                          <w:rFonts w:ascii="Arial" w:hAnsi="Arial" w:cs="Arial"/>
                          <w:b/>
                          <w:sz w:val="24"/>
                          <w:szCs w:val="24"/>
                        </w:rPr>
                        <w:t>Promovente</w:t>
                      </w:r>
                      <w:r w:rsidR="009A15B4" w:rsidRPr="00A500DB">
                        <w:rPr>
                          <w:rFonts w:ascii="Arial" w:hAnsi="Arial" w:cs="Arial"/>
                          <w:b/>
                          <w:sz w:val="24"/>
                          <w:szCs w:val="24"/>
                        </w:rPr>
                        <w:t>:</w:t>
                      </w:r>
                      <w:r w:rsidR="009A15B4" w:rsidRPr="00A500DB">
                        <w:rPr>
                          <w:rFonts w:ascii="Arial" w:hAnsi="Arial" w:cs="Arial"/>
                          <w:sz w:val="24"/>
                          <w:szCs w:val="24"/>
                        </w:rPr>
                        <w:t xml:space="preserve"> </w:t>
                      </w:r>
                      <w:r w:rsidR="009A15B4" w:rsidRPr="00A500DB">
                        <w:rPr>
                          <w:rFonts w:ascii="Arial" w:hAnsi="Arial" w:cs="Arial"/>
                          <w:sz w:val="24"/>
                          <w:szCs w:val="24"/>
                        </w:rPr>
                        <w:tab/>
                      </w:r>
                      <w:bookmarkStart w:id="1" w:name="_Hlk515878853"/>
                      <w:r w:rsidR="009B7F62" w:rsidRPr="009B7F62">
                        <w:rPr>
                          <w:rFonts w:ascii="Arial" w:hAnsi="Arial" w:cs="Arial"/>
                          <w:sz w:val="24"/>
                          <w:szCs w:val="24"/>
                        </w:rPr>
                        <w:t>Lic. Jorge Venegas Romero</w:t>
                      </w:r>
                      <w:r w:rsidR="004243E6">
                        <w:rPr>
                          <w:rFonts w:ascii="Arial" w:hAnsi="Arial" w:cs="Arial"/>
                          <w:sz w:val="24"/>
                          <w:szCs w:val="24"/>
                        </w:rPr>
                        <w:t xml:space="preserve">, en su </w:t>
                      </w:r>
                      <w:r>
                        <w:rPr>
                          <w:rFonts w:ascii="Arial" w:hAnsi="Arial" w:cs="Arial"/>
                          <w:sz w:val="24"/>
                          <w:szCs w:val="24"/>
                        </w:rPr>
                        <w:t xml:space="preserve">carácter de Representante Propietario del Partido </w:t>
                      </w:r>
                      <w:r w:rsidR="009B7F62">
                        <w:rPr>
                          <w:rFonts w:ascii="Arial" w:hAnsi="Arial" w:cs="Arial"/>
                          <w:sz w:val="24"/>
                          <w:szCs w:val="24"/>
                        </w:rPr>
                        <w:t>Verde Ecologista de México ante</w:t>
                      </w:r>
                      <w:r>
                        <w:rPr>
                          <w:rFonts w:ascii="Arial" w:hAnsi="Arial" w:cs="Arial"/>
                          <w:sz w:val="24"/>
                          <w:szCs w:val="24"/>
                        </w:rPr>
                        <w:t xml:space="preserve"> el </w:t>
                      </w:r>
                      <w:r w:rsidR="009B7F62">
                        <w:rPr>
                          <w:rFonts w:ascii="Arial" w:hAnsi="Arial" w:cs="Arial"/>
                          <w:sz w:val="24"/>
                          <w:szCs w:val="24"/>
                        </w:rPr>
                        <w:t>Consejo General del IEE.</w:t>
                      </w:r>
                    </w:p>
                    <w:bookmarkEnd w:id="1"/>
                    <w:p w:rsidR="00F85A1E" w:rsidRDefault="00F85A1E" w:rsidP="009B7F62">
                      <w:pPr>
                        <w:ind w:right="45"/>
                        <w:jc w:val="both"/>
                        <w:rPr>
                          <w:rFonts w:ascii="Arial" w:hAnsi="Arial" w:cs="Arial"/>
                          <w:sz w:val="24"/>
                          <w:szCs w:val="24"/>
                        </w:rPr>
                      </w:pPr>
                      <w:r>
                        <w:rPr>
                          <w:rFonts w:ascii="Arial" w:hAnsi="Arial" w:cs="Arial"/>
                          <w:b/>
                          <w:sz w:val="24"/>
                          <w:szCs w:val="24"/>
                        </w:rPr>
                        <w:t>Autoridad Responsable</w:t>
                      </w:r>
                      <w:r w:rsidR="009A15B4" w:rsidRPr="00A500DB">
                        <w:rPr>
                          <w:rFonts w:ascii="Arial" w:hAnsi="Arial" w:cs="Arial"/>
                          <w:b/>
                          <w:sz w:val="24"/>
                          <w:szCs w:val="24"/>
                        </w:rPr>
                        <w:t>:</w:t>
                      </w:r>
                      <w:r w:rsidR="009A15B4" w:rsidRPr="00A500DB">
                        <w:rPr>
                          <w:rFonts w:ascii="Arial" w:hAnsi="Arial" w:cs="Arial"/>
                          <w:sz w:val="24"/>
                          <w:szCs w:val="24"/>
                        </w:rPr>
                        <w:tab/>
                      </w:r>
                      <w:r w:rsidR="009B7F62">
                        <w:rPr>
                          <w:rFonts w:ascii="Arial" w:hAnsi="Arial" w:cs="Arial"/>
                          <w:sz w:val="24"/>
                          <w:szCs w:val="24"/>
                        </w:rPr>
                        <w:t>Consejo General del Instituto Estatal Electoral</w:t>
                      </w:r>
                    </w:p>
                    <w:p w:rsidR="009A15B4" w:rsidRPr="00A500DB" w:rsidRDefault="004243E6" w:rsidP="00EA0786">
                      <w:pPr>
                        <w:jc w:val="both"/>
                        <w:rPr>
                          <w:rFonts w:ascii="Arial" w:hAnsi="Arial" w:cs="Arial"/>
                          <w:b/>
                          <w:sz w:val="24"/>
                          <w:szCs w:val="24"/>
                        </w:rPr>
                      </w:pPr>
                      <w:r>
                        <w:rPr>
                          <w:rFonts w:ascii="Arial" w:hAnsi="Arial" w:cs="Arial"/>
                          <w:sz w:val="24"/>
                          <w:szCs w:val="24"/>
                        </w:rPr>
                        <w:t xml:space="preserve"> </w:t>
                      </w:r>
                    </w:p>
                  </w:txbxContent>
                </v:textbox>
                <w10:wrap type="square" anchorx="margin"/>
              </v:shape>
            </w:pict>
          </mc:Fallback>
        </mc:AlternateContent>
      </w: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ind w:left="284"/>
        <w:jc w:val="center"/>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after="0" w:line="360" w:lineRule="auto"/>
        <w:rPr>
          <w:rFonts w:ascii="Arial" w:eastAsia="Times New Roman" w:hAnsi="Arial" w:cs="Arial"/>
          <w:bCs/>
          <w:kern w:val="16"/>
          <w:lang w:eastAsia="es-ES"/>
        </w:rPr>
      </w:pPr>
    </w:p>
    <w:p w:rsidR="00EA0786" w:rsidRPr="00B352AE" w:rsidRDefault="00EA0786" w:rsidP="00B352AE">
      <w:pPr>
        <w:spacing w:line="360" w:lineRule="auto"/>
        <w:ind w:firstLine="708"/>
        <w:rPr>
          <w:rFonts w:ascii="Arial" w:eastAsia="Times New Roman" w:hAnsi="Arial" w:cs="Arial"/>
          <w:b/>
          <w:bCs/>
          <w:lang w:eastAsia="es-MX"/>
        </w:rPr>
      </w:pPr>
    </w:p>
    <w:p w:rsidR="004B0B1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El Secretario General de Acuerdos, Jesús Ociel Baena Saucedo, da cuenta </w:t>
      </w:r>
      <w:r w:rsidR="00305B43" w:rsidRPr="009B7F62">
        <w:rPr>
          <w:rFonts w:ascii="Arial" w:eastAsia="Times New Roman" w:hAnsi="Arial" w:cs="Arial"/>
          <w:bCs/>
          <w:sz w:val="24"/>
          <w:lang w:eastAsia="es-MX"/>
        </w:rPr>
        <w:t>a</w:t>
      </w:r>
      <w:r w:rsidRPr="009B7F62">
        <w:rPr>
          <w:rFonts w:ascii="Arial" w:eastAsia="Times New Roman" w:hAnsi="Arial" w:cs="Arial"/>
          <w:bCs/>
          <w:sz w:val="24"/>
          <w:lang w:eastAsia="es-MX"/>
        </w:rPr>
        <w:t xml:space="preserve">l Magistrado Héctor Salvador Hernández Gallegos, </w:t>
      </w:r>
      <w:proofErr w:type="gramStart"/>
      <w:r w:rsidRPr="009B7F62">
        <w:rPr>
          <w:rFonts w:ascii="Arial" w:eastAsia="Times New Roman" w:hAnsi="Arial" w:cs="Arial"/>
          <w:bCs/>
          <w:sz w:val="24"/>
          <w:lang w:eastAsia="es-MX"/>
        </w:rPr>
        <w:t>Presidente</w:t>
      </w:r>
      <w:proofErr w:type="gramEnd"/>
      <w:r w:rsidRPr="009B7F62">
        <w:rPr>
          <w:rFonts w:ascii="Arial" w:eastAsia="Times New Roman" w:hAnsi="Arial" w:cs="Arial"/>
          <w:bCs/>
          <w:sz w:val="24"/>
          <w:lang w:eastAsia="es-MX"/>
        </w:rPr>
        <w:t xml:space="preserve"> de este órgano jurisdiccional electoral, con la siguiente documentación, </w:t>
      </w:r>
      <w:bookmarkStart w:id="2" w:name="_Hlk503018402"/>
      <w:r w:rsidRPr="009B7F62">
        <w:rPr>
          <w:rFonts w:ascii="Arial" w:eastAsia="Times New Roman" w:hAnsi="Arial" w:cs="Arial"/>
          <w:bCs/>
          <w:sz w:val="24"/>
          <w:lang w:eastAsia="es-MX"/>
        </w:rPr>
        <w:t xml:space="preserve">recibida mediante </w:t>
      </w:r>
      <w:r w:rsidR="00104E3B" w:rsidRPr="009B7F62">
        <w:rPr>
          <w:rFonts w:ascii="Arial" w:eastAsia="Times New Roman" w:hAnsi="Arial" w:cs="Arial"/>
          <w:bCs/>
          <w:sz w:val="24"/>
          <w:lang w:eastAsia="es-MX"/>
        </w:rPr>
        <w:t xml:space="preserve">Oficio </w:t>
      </w:r>
      <w:bookmarkStart w:id="3" w:name="_Hlk515868995"/>
      <w:r w:rsidR="009D456B">
        <w:rPr>
          <w:rFonts w:ascii="Arial" w:eastAsia="Times New Roman" w:hAnsi="Arial" w:cs="Arial"/>
          <w:bCs/>
          <w:sz w:val="24"/>
          <w:lang w:eastAsia="es-MX"/>
        </w:rPr>
        <w:t>TEEA-OP-358/2018</w:t>
      </w:r>
      <w:r w:rsidR="00104E3B" w:rsidRPr="009B7F62">
        <w:rPr>
          <w:rFonts w:ascii="Arial" w:eastAsia="Times New Roman" w:hAnsi="Arial" w:cs="Arial"/>
          <w:bCs/>
          <w:sz w:val="24"/>
          <w:lang w:val="es-ES" w:eastAsia="es-MX"/>
        </w:rPr>
        <w:t xml:space="preserve">, </w:t>
      </w:r>
      <w:bookmarkEnd w:id="3"/>
      <w:r w:rsidR="00104E3B" w:rsidRPr="009B7F62">
        <w:rPr>
          <w:rFonts w:ascii="Arial" w:eastAsia="Times New Roman" w:hAnsi="Arial" w:cs="Arial"/>
          <w:bCs/>
          <w:sz w:val="24"/>
          <w:lang w:val="es-ES" w:eastAsia="es-MX"/>
        </w:rPr>
        <w:t>de fecha</w:t>
      </w:r>
      <w:r w:rsidR="00663349" w:rsidRPr="009B7F62">
        <w:rPr>
          <w:rFonts w:ascii="Arial" w:eastAsia="Times New Roman" w:hAnsi="Arial" w:cs="Arial"/>
          <w:bCs/>
          <w:sz w:val="24"/>
          <w:lang w:val="es-ES" w:eastAsia="es-MX"/>
        </w:rPr>
        <w:t xml:space="preserve"> </w:t>
      </w:r>
      <w:r w:rsidR="009B7F62" w:rsidRPr="009B7F62">
        <w:rPr>
          <w:rFonts w:ascii="Arial" w:eastAsia="Times New Roman" w:hAnsi="Arial" w:cs="Arial"/>
          <w:bCs/>
          <w:sz w:val="24"/>
          <w:lang w:val="es-ES" w:eastAsia="es-MX"/>
        </w:rPr>
        <w:t>dieciséis</w:t>
      </w:r>
      <w:r w:rsidR="00451C61" w:rsidRPr="009B7F62">
        <w:rPr>
          <w:rFonts w:ascii="Arial" w:eastAsia="Times New Roman" w:hAnsi="Arial" w:cs="Arial"/>
          <w:bCs/>
          <w:sz w:val="24"/>
          <w:lang w:val="es-ES" w:eastAsia="es-MX"/>
        </w:rPr>
        <w:t xml:space="preserve"> </w:t>
      </w:r>
      <w:r w:rsidR="00104E3B" w:rsidRPr="009B7F62">
        <w:rPr>
          <w:rFonts w:ascii="Arial" w:eastAsia="Times New Roman" w:hAnsi="Arial" w:cs="Arial"/>
          <w:bCs/>
          <w:sz w:val="24"/>
          <w:lang w:val="es-ES" w:eastAsia="es-MX"/>
        </w:rPr>
        <w:t xml:space="preserve">de </w:t>
      </w:r>
      <w:r w:rsidR="00451C61" w:rsidRPr="009B7F62">
        <w:rPr>
          <w:rFonts w:ascii="Arial" w:eastAsia="Times New Roman" w:hAnsi="Arial" w:cs="Arial"/>
          <w:bCs/>
          <w:sz w:val="24"/>
          <w:lang w:val="es-ES" w:eastAsia="es-MX"/>
        </w:rPr>
        <w:t>ju</w:t>
      </w:r>
      <w:r w:rsidR="00B469A5" w:rsidRPr="009B7F62">
        <w:rPr>
          <w:rFonts w:ascii="Arial" w:eastAsia="Times New Roman" w:hAnsi="Arial" w:cs="Arial"/>
          <w:bCs/>
          <w:sz w:val="24"/>
          <w:lang w:val="es-ES" w:eastAsia="es-MX"/>
        </w:rPr>
        <w:t>l</w:t>
      </w:r>
      <w:r w:rsidR="00451C61" w:rsidRPr="009B7F62">
        <w:rPr>
          <w:rFonts w:ascii="Arial" w:eastAsia="Times New Roman" w:hAnsi="Arial" w:cs="Arial"/>
          <w:bCs/>
          <w:sz w:val="24"/>
          <w:lang w:val="es-ES" w:eastAsia="es-MX"/>
        </w:rPr>
        <w:t>io</w:t>
      </w:r>
      <w:r w:rsidR="00104E3B" w:rsidRPr="009B7F62">
        <w:rPr>
          <w:rFonts w:ascii="Arial" w:eastAsia="Times New Roman" w:hAnsi="Arial" w:cs="Arial"/>
          <w:bCs/>
          <w:sz w:val="24"/>
          <w:lang w:val="es-ES" w:eastAsia="es-MX"/>
        </w:rPr>
        <w:t xml:space="preserve"> de</w:t>
      </w:r>
      <w:r w:rsidR="00B469A5" w:rsidRPr="009B7F62">
        <w:rPr>
          <w:rFonts w:ascii="Arial" w:eastAsia="Times New Roman" w:hAnsi="Arial" w:cs="Arial"/>
          <w:bCs/>
          <w:sz w:val="24"/>
          <w:lang w:val="es-ES" w:eastAsia="es-MX"/>
        </w:rPr>
        <w:t xml:space="preserve"> dos mil dieciocho</w:t>
      </w:r>
      <w:r w:rsidR="009D456B">
        <w:rPr>
          <w:rFonts w:ascii="Arial" w:eastAsia="Times New Roman" w:hAnsi="Arial" w:cs="Arial"/>
          <w:bCs/>
          <w:sz w:val="24"/>
          <w:lang w:val="es-ES" w:eastAsia="es-MX"/>
        </w:rPr>
        <w:t>,</w:t>
      </w:r>
      <w:r w:rsidR="009D456B" w:rsidRPr="009D456B">
        <w:rPr>
          <w:rFonts w:ascii="Arial" w:eastAsia="Times New Roman" w:hAnsi="Arial" w:cs="Arial"/>
          <w:bCs/>
          <w:sz w:val="24"/>
          <w:lang w:eastAsia="es-MX"/>
        </w:rPr>
        <w:t xml:space="preserve"> </w:t>
      </w:r>
      <w:r w:rsidR="009D456B" w:rsidRPr="009B7F62">
        <w:rPr>
          <w:rFonts w:ascii="Arial" w:eastAsia="Times New Roman" w:hAnsi="Arial" w:cs="Arial"/>
          <w:bCs/>
          <w:sz w:val="24"/>
          <w:lang w:eastAsia="es-MX"/>
        </w:rPr>
        <w:t>a las diecisiete horas con quince minutos</w:t>
      </w:r>
      <w:r w:rsidR="00B469A5" w:rsidRPr="009B7F62">
        <w:rPr>
          <w:rFonts w:ascii="Arial" w:eastAsia="Times New Roman" w:hAnsi="Arial" w:cs="Arial"/>
          <w:bCs/>
          <w:sz w:val="24"/>
          <w:lang w:val="es-ES" w:eastAsia="es-MX"/>
        </w:rPr>
        <w:t xml:space="preserve">, </w:t>
      </w:r>
      <w:r w:rsidR="009B7F62" w:rsidRPr="009B7F62">
        <w:rPr>
          <w:rFonts w:ascii="Arial" w:eastAsia="Times New Roman" w:hAnsi="Arial" w:cs="Arial"/>
          <w:bCs/>
          <w:sz w:val="24"/>
          <w:lang w:val="es-ES" w:eastAsia="es-MX"/>
        </w:rPr>
        <w:t xml:space="preserve">signado por </w:t>
      </w:r>
      <w:r w:rsidR="009D456B">
        <w:rPr>
          <w:rFonts w:ascii="Arial" w:eastAsia="Times New Roman" w:hAnsi="Arial" w:cs="Arial"/>
          <w:bCs/>
          <w:sz w:val="24"/>
          <w:lang w:val="es-ES" w:eastAsia="es-MX"/>
        </w:rPr>
        <w:t xml:space="preserve">Reynaldo </w:t>
      </w:r>
      <w:r w:rsidR="00DB793B">
        <w:rPr>
          <w:rFonts w:ascii="Arial" w:eastAsia="Times New Roman" w:hAnsi="Arial" w:cs="Arial"/>
          <w:bCs/>
          <w:sz w:val="24"/>
          <w:lang w:val="es-ES" w:eastAsia="es-MX"/>
        </w:rPr>
        <w:t>Macías Ramírez</w:t>
      </w:r>
      <w:r w:rsidR="009D456B">
        <w:rPr>
          <w:rFonts w:ascii="Arial" w:eastAsia="Times New Roman" w:hAnsi="Arial" w:cs="Arial"/>
          <w:bCs/>
          <w:sz w:val="24"/>
          <w:lang w:val="es-ES" w:eastAsia="es-MX"/>
        </w:rPr>
        <w:t xml:space="preserve"> </w:t>
      </w:r>
      <w:r w:rsidR="009B7F62" w:rsidRPr="009B7F62">
        <w:rPr>
          <w:rFonts w:ascii="Arial" w:eastAsia="Times New Roman" w:hAnsi="Arial" w:cs="Arial"/>
          <w:bCs/>
          <w:sz w:val="24"/>
          <w:lang w:val="es-ES" w:eastAsia="es-MX"/>
        </w:rPr>
        <w:t xml:space="preserve">en su carácter de </w:t>
      </w:r>
      <w:r w:rsidR="009D456B">
        <w:rPr>
          <w:rFonts w:ascii="Arial" w:eastAsia="Times New Roman" w:hAnsi="Arial" w:cs="Arial"/>
          <w:bCs/>
          <w:sz w:val="24"/>
          <w:lang w:val="es-ES" w:eastAsia="es-MX"/>
        </w:rPr>
        <w:t>Auxiliar de la Oficialía de partes de este Tribunal</w:t>
      </w:r>
      <w:bookmarkEnd w:id="2"/>
      <w:r w:rsidR="001F4635" w:rsidRPr="009B7F62">
        <w:rPr>
          <w:rFonts w:ascii="Arial" w:eastAsia="Times New Roman" w:hAnsi="Arial" w:cs="Arial"/>
          <w:bCs/>
          <w:sz w:val="24"/>
          <w:lang w:eastAsia="es-MX"/>
        </w:rPr>
        <w:t>:</w:t>
      </w:r>
    </w:p>
    <w:p w:rsidR="002E5EEA" w:rsidRPr="009B7F62" w:rsidRDefault="002E5EEA" w:rsidP="00DB793B">
      <w:pPr>
        <w:pStyle w:val="Prrafodelista"/>
        <w:numPr>
          <w:ilvl w:val="0"/>
          <w:numId w:val="2"/>
        </w:numPr>
        <w:spacing w:line="360" w:lineRule="auto"/>
        <w:ind w:left="709" w:hanging="435"/>
        <w:jc w:val="both"/>
        <w:rPr>
          <w:rFonts w:ascii="Arial" w:eastAsia="Times New Roman" w:hAnsi="Arial" w:cs="Arial"/>
          <w:bCs/>
          <w:sz w:val="24"/>
          <w:lang w:eastAsia="es-MX"/>
        </w:rPr>
      </w:pPr>
      <w:r w:rsidRPr="009B7F62">
        <w:rPr>
          <w:rFonts w:ascii="Arial" w:eastAsia="Times New Roman" w:hAnsi="Arial" w:cs="Arial"/>
          <w:bCs/>
          <w:sz w:val="24"/>
          <w:lang w:eastAsia="es-MX"/>
        </w:rPr>
        <w:t>Original del Oficio IEE/SE/3136/2018, de fecha dieciséis de julio de dos mil dieciocho por el cual se remite el Expediente IEE/RN/001/2018, signado por el M. en D. Sandor Ezequiel Hernández Lara en su carácter de SE del CG del IEE en Aguascalientes, consistente en tres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del Escrito de Presentación de Recurso de Nulidad que promueve el Partido Verde Ecologista de México, por conducto del Lic. Jorge Venegas Romero, de fecha doce de julio de dos mil dieciocho signado por el mismo, consistente en dos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 Original del Escrito de Juicio de Recurso de Nulidad que promueve el Partido Verde Ecologista de México, por conducto del Lic. Jorge Venegas Romero, de fecha doce de julio de dos mil dieciocho signado por el mismo y anexa acreditación como representante propietario del PVEM ante el CG del IEE, consistente en veinticinco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del Acuerdo CG-A-41/18 del CG del IEE, mediante el cual se asignan las Diputaciones por el Principio de RP en el Proceso Electoral 2017-2018 en Aguascalientes, emitida por el M. en D. Sandor Ezequiel Hernández Lara en su carácter de SE del CG del IEE, consistente en veintitrés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lastRenderedPageBreak/>
        <w:t>Copia certificada del Acta de Cómputo final de la elección para las diputaciones locales de Representación Proporcional, emitida por el M. en D. Sandor Ezequiel Hernández Lara en su carácter de Secretario Ejecutivo del CG del IEE, consistente en una hoja útil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del Acuerdo de Recepción de fecha doce de julio de dos mil dieciocho, signado por el M. en D. Sandor Ezequiel Hernández Lara en su carácter de SE del CG del IEE en Aguascalientes, consistente en tres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 la Cédula de Notificación por Estrados de fecha doce de julio de dos mil dieciocho, signado por el M. en D. Sandor Ezequiel Hernández Lara en su carácter de Secretario Ejecutivo del CG del IEE en Aguascalientes, consistente en tres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del Escrito de presentación de tercero interesado, signado por Elsa Amabel Landín Olivares, en su carácter de diputada electa del IX, distrito electoral local, consistente en una hoja útil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del Escrito de comparecencia como tercero interesado, signado por Elsa Amabel Landín Olivares, en su carácter de diputada electa del IX, distrito electoral local, consistente en cinco hojas útiles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Copia certificada de la Constancia de Asignación de Diputados al H. Congreso del Estado de Aguascalientes, de fecha ocho de julio de dos mil dieciocho, emitida por el M. en D. Sandor Ezequiel Hernández Lara en su carácter de SE del CG del IEE en Aguascalientes, consistente en una hoja útil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 la Razón de retiro de cédula de notificación de fecha quince de julio, signada por el M. en D. Sandor Ezequiel Hernández Lara en su carácter de SE del CG del IEE en Aguascalientes, consistente en una hoja útil por uno solo de sus lados.</w:t>
      </w:r>
    </w:p>
    <w:p w:rsidR="002E5EEA" w:rsidRPr="009B7F62"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Original del Informe Circunstanciado de fecha dieciséis de julio de dos mil dieciocho, signado por el M. en D. Sandor Ezequiel Hernández Lara en su carácter de SE del CG del IEE en Aguascalientes, consistente en trece hojas útiles por uno solo de sus lados.</w:t>
      </w:r>
    </w:p>
    <w:p w:rsidR="002E5EEA" w:rsidRDefault="002E5EEA" w:rsidP="00DB793B">
      <w:pPr>
        <w:pStyle w:val="Prrafodelista"/>
        <w:numPr>
          <w:ilvl w:val="0"/>
          <w:numId w:val="2"/>
        </w:numPr>
        <w:spacing w:line="360" w:lineRule="auto"/>
        <w:ind w:left="709"/>
        <w:jc w:val="both"/>
        <w:rPr>
          <w:rFonts w:ascii="Arial" w:eastAsia="Times New Roman" w:hAnsi="Arial" w:cs="Arial"/>
          <w:bCs/>
          <w:sz w:val="24"/>
          <w:lang w:eastAsia="es-MX"/>
        </w:rPr>
      </w:pPr>
      <w:r w:rsidRPr="009B7F62">
        <w:rPr>
          <w:rFonts w:ascii="Arial" w:eastAsia="Times New Roman" w:hAnsi="Arial" w:cs="Arial"/>
          <w:bCs/>
          <w:sz w:val="24"/>
          <w:lang w:eastAsia="es-MX"/>
        </w:rPr>
        <w:t>Copia simple del Periódico Oficial de fecha ocho de febrero de dos mil dieciséis, tercera sección de la página diez a la veintitrés, consistente en trece hojas útiles por uno solo de sus lados.</w:t>
      </w:r>
    </w:p>
    <w:p w:rsidR="009B7F62" w:rsidRPr="00DB793B" w:rsidRDefault="00DB793B" w:rsidP="00DB793B">
      <w:pPr>
        <w:pStyle w:val="Prrafodelista"/>
        <w:numPr>
          <w:ilvl w:val="0"/>
          <w:numId w:val="2"/>
        </w:numPr>
        <w:spacing w:line="360" w:lineRule="auto"/>
        <w:ind w:left="709"/>
        <w:jc w:val="both"/>
        <w:rPr>
          <w:rFonts w:ascii="Arial" w:eastAsia="Times New Roman" w:hAnsi="Arial" w:cs="Arial"/>
          <w:bCs/>
          <w:sz w:val="24"/>
          <w:lang w:eastAsia="es-MX"/>
        </w:rPr>
      </w:pPr>
      <w:r>
        <w:rPr>
          <w:rFonts w:ascii="Arial" w:eastAsia="Times New Roman" w:hAnsi="Arial" w:cs="Arial"/>
          <w:bCs/>
          <w:sz w:val="24"/>
          <w:lang w:eastAsia="es-MX"/>
        </w:rPr>
        <w:t xml:space="preserve">Original del Oficio TEEA-OP-347/2018, </w:t>
      </w:r>
      <w:r w:rsidRPr="00DB793B">
        <w:rPr>
          <w:rFonts w:ascii="Arial" w:eastAsia="Times New Roman" w:hAnsi="Arial" w:cs="Arial"/>
          <w:bCs/>
          <w:sz w:val="24"/>
          <w:lang w:val="es-ES" w:eastAsia="es-MX"/>
        </w:rPr>
        <w:t xml:space="preserve">de fecha </w:t>
      </w:r>
      <w:r>
        <w:rPr>
          <w:rFonts w:ascii="Arial" w:eastAsia="Times New Roman" w:hAnsi="Arial" w:cs="Arial"/>
          <w:bCs/>
          <w:sz w:val="24"/>
          <w:lang w:val="es-ES" w:eastAsia="es-MX"/>
        </w:rPr>
        <w:t>doce</w:t>
      </w:r>
      <w:r w:rsidRPr="00DB793B">
        <w:rPr>
          <w:rFonts w:ascii="Arial" w:eastAsia="Times New Roman" w:hAnsi="Arial" w:cs="Arial"/>
          <w:bCs/>
          <w:sz w:val="24"/>
          <w:lang w:val="es-ES" w:eastAsia="es-MX"/>
        </w:rPr>
        <w:t xml:space="preserve"> de julio de dos mil dieciocho,</w:t>
      </w:r>
      <w:r w:rsidRPr="00DB793B">
        <w:rPr>
          <w:rFonts w:ascii="Arial" w:eastAsia="Times New Roman" w:hAnsi="Arial" w:cs="Arial"/>
          <w:bCs/>
          <w:sz w:val="24"/>
          <w:lang w:eastAsia="es-MX"/>
        </w:rPr>
        <w:t xml:space="preserve"> a las dieci</w:t>
      </w:r>
      <w:r>
        <w:rPr>
          <w:rFonts w:ascii="Arial" w:eastAsia="Times New Roman" w:hAnsi="Arial" w:cs="Arial"/>
          <w:bCs/>
          <w:sz w:val="24"/>
          <w:lang w:eastAsia="es-MX"/>
        </w:rPr>
        <w:t>nueve</w:t>
      </w:r>
      <w:r w:rsidRPr="00DB793B">
        <w:rPr>
          <w:rFonts w:ascii="Arial" w:eastAsia="Times New Roman" w:hAnsi="Arial" w:cs="Arial"/>
          <w:bCs/>
          <w:sz w:val="24"/>
          <w:lang w:eastAsia="es-MX"/>
        </w:rPr>
        <w:t xml:space="preserve"> horas con </w:t>
      </w:r>
      <w:r>
        <w:rPr>
          <w:rFonts w:ascii="Arial" w:eastAsia="Times New Roman" w:hAnsi="Arial" w:cs="Arial"/>
          <w:bCs/>
          <w:sz w:val="24"/>
          <w:lang w:eastAsia="es-MX"/>
        </w:rPr>
        <w:t>cincuenta y cinco</w:t>
      </w:r>
      <w:r w:rsidRPr="00DB793B">
        <w:rPr>
          <w:rFonts w:ascii="Arial" w:eastAsia="Times New Roman" w:hAnsi="Arial" w:cs="Arial"/>
          <w:bCs/>
          <w:sz w:val="24"/>
          <w:lang w:eastAsia="es-MX"/>
        </w:rPr>
        <w:t xml:space="preserve"> minutos</w:t>
      </w:r>
      <w:r w:rsidRPr="00DB793B">
        <w:rPr>
          <w:rFonts w:ascii="Arial" w:eastAsia="Times New Roman" w:hAnsi="Arial" w:cs="Arial"/>
          <w:bCs/>
          <w:sz w:val="24"/>
          <w:lang w:val="es-ES" w:eastAsia="es-MX"/>
        </w:rPr>
        <w:t xml:space="preserve">, signado por </w:t>
      </w:r>
      <w:r w:rsidRPr="00DB793B">
        <w:rPr>
          <w:rFonts w:ascii="Arial" w:eastAsia="Times New Roman" w:hAnsi="Arial" w:cs="Arial"/>
          <w:bCs/>
          <w:sz w:val="24"/>
          <w:lang w:val="es-ES" w:eastAsia="es-MX"/>
        </w:rPr>
        <w:lastRenderedPageBreak/>
        <w:t>Reynaldo Macías Ramírez en su carácter de Auxiliar de la Oficialía de partes de este Tribunal</w:t>
      </w:r>
      <w:r>
        <w:rPr>
          <w:rFonts w:ascii="Arial" w:eastAsia="Times New Roman" w:hAnsi="Arial" w:cs="Arial"/>
          <w:bCs/>
          <w:sz w:val="24"/>
          <w:lang w:val="es-ES" w:eastAsia="es-MX"/>
        </w:rPr>
        <w:t>,</w:t>
      </w:r>
      <w:r w:rsidRPr="00DB793B">
        <w:rPr>
          <w:rFonts w:ascii="Arial" w:eastAsia="Times New Roman" w:hAnsi="Arial" w:cs="Arial"/>
          <w:bCs/>
          <w:sz w:val="24"/>
          <w:lang w:eastAsia="es-MX"/>
        </w:rPr>
        <w:t xml:space="preserve"> </w:t>
      </w:r>
      <w:r>
        <w:rPr>
          <w:rFonts w:ascii="Arial" w:eastAsia="Times New Roman" w:hAnsi="Arial" w:cs="Arial"/>
          <w:bCs/>
          <w:sz w:val="24"/>
          <w:lang w:eastAsia="es-MX"/>
        </w:rPr>
        <w:t>al que se acompaña el aviso de interposición de medio de impugnación.</w:t>
      </w:r>
    </w:p>
    <w:p w:rsidR="00DB793B" w:rsidRDefault="00DB793B" w:rsidP="00B352AE">
      <w:pPr>
        <w:spacing w:after="0" w:line="360" w:lineRule="auto"/>
        <w:ind w:firstLine="708"/>
        <w:jc w:val="right"/>
        <w:rPr>
          <w:rFonts w:ascii="Arial" w:hAnsi="Arial" w:cs="Arial"/>
          <w:sz w:val="24"/>
        </w:rPr>
      </w:pPr>
    </w:p>
    <w:p w:rsidR="008A6059" w:rsidRPr="009B7F62" w:rsidRDefault="008A6059" w:rsidP="00B352AE">
      <w:pPr>
        <w:spacing w:after="0" w:line="360" w:lineRule="auto"/>
        <w:ind w:firstLine="708"/>
        <w:jc w:val="right"/>
        <w:rPr>
          <w:rFonts w:ascii="Arial" w:hAnsi="Arial" w:cs="Arial"/>
          <w:sz w:val="24"/>
        </w:rPr>
      </w:pPr>
      <w:r w:rsidRPr="009B7F62">
        <w:rPr>
          <w:rFonts w:ascii="Arial" w:hAnsi="Arial" w:cs="Arial"/>
          <w:sz w:val="24"/>
        </w:rPr>
        <w:t xml:space="preserve">Aguascalientes, Aguascalientes a </w:t>
      </w:r>
      <w:r w:rsidR="00145CCE">
        <w:rPr>
          <w:rFonts w:ascii="Arial" w:hAnsi="Arial" w:cs="Arial"/>
          <w:sz w:val="24"/>
        </w:rPr>
        <w:t>dieciocho</w:t>
      </w:r>
      <w:r w:rsidRPr="009B7F62">
        <w:rPr>
          <w:rFonts w:ascii="Arial" w:hAnsi="Arial" w:cs="Arial"/>
          <w:sz w:val="24"/>
        </w:rPr>
        <w:t xml:space="preserve"> de </w:t>
      </w:r>
      <w:r w:rsidR="00B352AE" w:rsidRPr="009B7F62">
        <w:rPr>
          <w:rFonts w:ascii="Arial" w:hAnsi="Arial" w:cs="Arial"/>
          <w:sz w:val="24"/>
        </w:rPr>
        <w:t>julio</w:t>
      </w:r>
      <w:r w:rsidRPr="009B7F62">
        <w:rPr>
          <w:rFonts w:ascii="Arial" w:hAnsi="Arial" w:cs="Arial"/>
          <w:sz w:val="24"/>
        </w:rPr>
        <w:t xml:space="preserve"> de dos mil dieciocho.</w:t>
      </w:r>
    </w:p>
    <w:p w:rsidR="009B7F62" w:rsidRDefault="009B7F62" w:rsidP="00911103">
      <w:pPr>
        <w:tabs>
          <w:tab w:val="left" w:pos="3606"/>
        </w:tabs>
        <w:spacing w:after="0" w:line="360" w:lineRule="auto"/>
        <w:ind w:right="-91"/>
        <w:jc w:val="both"/>
        <w:rPr>
          <w:rFonts w:ascii="Arial" w:hAnsi="Arial" w:cs="Arial"/>
          <w:sz w:val="24"/>
        </w:rPr>
      </w:pPr>
    </w:p>
    <w:p w:rsidR="00911103" w:rsidRPr="009B7F62" w:rsidRDefault="00911103" w:rsidP="00911103">
      <w:pPr>
        <w:tabs>
          <w:tab w:val="left" w:pos="3606"/>
        </w:tabs>
        <w:spacing w:after="0" w:line="360" w:lineRule="auto"/>
        <w:ind w:right="-91"/>
        <w:jc w:val="both"/>
        <w:rPr>
          <w:rFonts w:ascii="Arial" w:hAnsi="Arial" w:cs="Arial"/>
          <w:bCs/>
          <w:sz w:val="24"/>
        </w:rPr>
      </w:pPr>
      <w:r w:rsidRPr="009B7F62">
        <w:rPr>
          <w:rFonts w:ascii="Arial" w:hAnsi="Arial" w:cs="Arial"/>
          <w:sz w:val="24"/>
        </w:rPr>
        <w:t>Vista la cuenta</w:t>
      </w:r>
      <w:r w:rsidRPr="009B7F62">
        <w:rPr>
          <w:rFonts w:ascii="Arial" w:hAnsi="Arial" w:cs="Arial"/>
          <w:bCs/>
          <w:sz w:val="24"/>
        </w:rPr>
        <w:t xml:space="preserve">, con fundamento en los artículos 297, fracción III, 298, 299, 300, 301, 311, 312, 313, 338 AL 352 del Código Electoral del Estado de Aguascalientes; 28, fracción VIII y IX; 104 fracción II, inciso b) del Reglamento Interior del Tribunal Electoral del Estado de Aguascalientes, </w:t>
      </w:r>
      <w:r w:rsidRPr="009B7F62">
        <w:rPr>
          <w:rFonts w:ascii="Arial" w:hAnsi="Arial" w:cs="Arial"/>
          <w:b/>
          <w:bCs/>
          <w:sz w:val="24"/>
        </w:rPr>
        <w:t>SE ACUERDA:</w:t>
      </w:r>
    </w:p>
    <w:p w:rsidR="0010305B" w:rsidRPr="009B7F62" w:rsidRDefault="0010305B" w:rsidP="00B352AE">
      <w:pPr>
        <w:tabs>
          <w:tab w:val="left" w:pos="3606"/>
        </w:tabs>
        <w:spacing w:after="0" w:line="360" w:lineRule="auto"/>
        <w:ind w:right="-91"/>
        <w:jc w:val="both"/>
        <w:rPr>
          <w:rFonts w:ascii="Arial" w:eastAsia="Times New Roman" w:hAnsi="Arial" w:cs="Arial"/>
          <w:bCs/>
          <w:sz w:val="24"/>
          <w:lang w:eastAsia="es-MX"/>
        </w:rPr>
      </w:pPr>
    </w:p>
    <w:p w:rsidR="009F21F0" w:rsidRPr="009B7F62" w:rsidRDefault="00EA0786" w:rsidP="00911103">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
          <w:bCs/>
          <w:sz w:val="24"/>
          <w:lang w:eastAsia="es-MX"/>
        </w:rPr>
        <w:t>PRIMERO.</w:t>
      </w:r>
      <w:r w:rsidRPr="009B7F62">
        <w:rPr>
          <w:rFonts w:ascii="Arial" w:eastAsia="Times New Roman" w:hAnsi="Arial" w:cs="Arial"/>
          <w:bCs/>
          <w:sz w:val="24"/>
          <w:lang w:eastAsia="es-MX"/>
        </w:rPr>
        <w:t xml:space="preserve"> Con el escrito de cuenta y sus anexos, intégrese el expediente respectivo y regístrese en el Libro de Gobierno con la clave </w:t>
      </w:r>
      <w:r w:rsidRPr="009B7F62">
        <w:rPr>
          <w:rFonts w:ascii="Arial" w:eastAsia="Times New Roman" w:hAnsi="Arial" w:cs="Arial"/>
          <w:b/>
          <w:bCs/>
          <w:sz w:val="24"/>
          <w:lang w:eastAsia="es-MX"/>
        </w:rPr>
        <w:t>TEEA-</w:t>
      </w:r>
      <w:r w:rsidR="00B352AE" w:rsidRPr="009B7F62">
        <w:rPr>
          <w:rFonts w:ascii="Arial" w:eastAsia="Times New Roman" w:hAnsi="Arial" w:cs="Arial"/>
          <w:b/>
          <w:bCs/>
          <w:sz w:val="24"/>
          <w:lang w:eastAsia="es-MX"/>
        </w:rPr>
        <w:t>REN</w:t>
      </w:r>
      <w:r w:rsidRPr="009B7F62">
        <w:rPr>
          <w:rFonts w:ascii="Arial" w:eastAsia="Times New Roman" w:hAnsi="Arial" w:cs="Arial"/>
          <w:b/>
          <w:bCs/>
          <w:sz w:val="24"/>
          <w:lang w:eastAsia="es-MX"/>
        </w:rPr>
        <w:t>-</w:t>
      </w:r>
      <w:r w:rsidR="00B352AE" w:rsidRPr="009B7F62">
        <w:rPr>
          <w:rFonts w:ascii="Arial" w:eastAsia="Times New Roman" w:hAnsi="Arial" w:cs="Arial"/>
          <w:b/>
          <w:bCs/>
          <w:sz w:val="24"/>
          <w:lang w:eastAsia="es-MX"/>
        </w:rPr>
        <w:t>00</w:t>
      </w:r>
      <w:r w:rsidR="00F15165" w:rsidRPr="009B7F62">
        <w:rPr>
          <w:rFonts w:ascii="Arial" w:eastAsia="Times New Roman" w:hAnsi="Arial" w:cs="Arial"/>
          <w:b/>
          <w:bCs/>
          <w:sz w:val="24"/>
          <w:lang w:eastAsia="es-MX"/>
        </w:rPr>
        <w:t>3</w:t>
      </w:r>
      <w:r w:rsidR="00B352AE" w:rsidRPr="009B7F62">
        <w:rPr>
          <w:rFonts w:ascii="Arial" w:eastAsia="Times New Roman" w:hAnsi="Arial" w:cs="Arial"/>
          <w:b/>
          <w:bCs/>
          <w:sz w:val="24"/>
          <w:lang w:eastAsia="es-MX"/>
        </w:rPr>
        <w:t>/</w:t>
      </w:r>
      <w:r w:rsidRPr="009B7F62">
        <w:rPr>
          <w:rFonts w:ascii="Arial" w:eastAsia="Times New Roman" w:hAnsi="Arial" w:cs="Arial"/>
          <w:b/>
          <w:bCs/>
          <w:sz w:val="24"/>
          <w:lang w:eastAsia="es-MX"/>
        </w:rPr>
        <w:t>2018</w:t>
      </w:r>
      <w:r w:rsidRPr="009B7F62">
        <w:rPr>
          <w:rFonts w:ascii="Arial" w:eastAsia="Times New Roman" w:hAnsi="Arial" w:cs="Arial"/>
          <w:bCs/>
          <w:sz w:val="24"/>
          <w:lang w:eastAsia="es-MX"/>
        </w:rPr>
        <w:t>.</w:t>
      </w:r>
    </w:p>
    <w:p w:rsidR="001614E7" w:rsidRPr="009B7F62" w:rsidRDefault="00911103" w:rsidP="00B352AE">
      <w:pPr>
        <w:spacing w:line="360" w:lineRule="auto"/>
        <w:ind w:firstLine="708"/>
        <w:jc w:val="both"/>
        <w:rPr>
          <w:rFonts w:ascii="Arial" w:eastAsia="Times New Roman" w:hAnsi="Arial" w:cs="Arial"/>
          <w:b/>
          <w:bCs/>
          <w:sz w:val="24"/>
          <w:lang w:eastAsia="es-MX"/>
        </w:rPr>
      </w:pPr>
      <w:r w:rsidRPr="009B7F62">
        <w:rPr>
          <w:rFonts w:ascii="Arial" w:eastAsia="Times New Roman" w:hAnsi="Arial" w:cs="Arial"/>
          <w:b/>
          <w:bCs/>
          <w:sz w:val="24"/>
          <w:lang w:eastAsia="es-MX"/>
        </w:rPr>
        <w:t xml:space="preserve">SEGUNDO. </w:t>
      </w:r>
      <w:r w:rsidRPr="009B7F62">
        <w:rPr>
          <w:rFonts w:ascii="Arial" w:eastAsia="Times New Roman" w:hAnsi="Arial" w:cs="Arial"/>
          <w:bCs/>
          <w:sz w:val="24"/>
          <w:lang w:eastAsia="es-MX"/>
        </w:rPr>
        <w:t>Para los efectos previstos en los artículos 357, fracción VIII, inciso e), del Código Electoral; 104 y 105 del Reglamento Interior del Tribunal Electoral del Estado de Aguascalientes, túrnese los autos a la Ponencia</w:t>
      </w:r>
      <w:r w:rsidRPr="009B7F62">
        <w:rPr>
          <w:rFonts w:ascii="Arial" w:eastAsia="Times New Roman" w:hAnsi="Arial" w:cs="Arial"/>
          <w:b/>
          <w:bCs/>
          <w:sz w:val="24"/>
          <w:lang w:eastAsia="es-MX"/>
        </w:rPr>
        <w:t xml:space="preserve"> </w:t>
      </w:r>
      <w:r w:rsidR="00B352AE" w:rsidRPr="009B7F62">
        <w:rPr>
          <w:rFonts w:ascii="Arial" w:eastAsia="Times New Roman" w:hAnsi="Arial" w:cs="Arial"/>
          <w:bCs/>
          <w:sz w:val="24"/>
          <w:lang w:eastAsia="es-MX"/>
        </w:rPr>
        <w:t>de</w:t>
      </w:r>
      <w:r w:rsidR="00F15165" w:rsidRPr="009B7F62">
        <w:rPr>
          <w:rFonts w:ascii="Arial" w:eastAsia="Times New Roman" w:hAnsi="Arial" w:cs="Arial"/>
          <w:bCs/>
          <w:sz w:val="24"/>
          <w:lang w:eastAsia="es-MX"/>
        </w:rPr>
        <w:t xml:space="preserve">l </w:t>
      </w:r>
      <w:r w:rsidR="00F15165" w:rsidRPr="009B7F62">
        <w:rPr>
          <w:rFonts w:ascii="Arial" w:eastAsia="Times New Roman" w:hAnsi="Arial" w:cs="Arial"/>
          <w:b/>
          <w:bCs/>
          <w:sz w:val="24"/>
          <w:lang w:eastAsia="es-MX"/>
        </w:rPr>
        <w:t xml:space="preserve">suscrito Magistrado presidente. </w:t>
      </w:r>
    </w:p>
    <w:p w:rsidR="00EA0786" w:rsidRPr="009B7F62" w:rsidRDefault="00EA0786" w:rsidP="00B352AE">
      <w:pPr>
        <w:spacing w:line="360" w:lineRule="auto"/>
        <w:ind w:firstLine="708"/>
        <w:jc w:val="both"/>
        <w:rPr>
          <w:rFonts w:ascii="Arial" w:eastAsia="Times New Roman" w:hAnsi="Arial" w:cs="Arial"/>
          <w:bCs/>
          <w:sz w:val="24"/>
          <w:lang w:eastAsia="es-MX"/>
        </w:rPr>
      </w:pPr>
      <w:r w:rsidRPr="009B7F62">
        <w:rPr>
          <w:rFonts w:ascii="Arial" w:eastAsia="Times New Roman" w:hAnsi="Arial" w:cs="Arial"/>
          <w:bCs/>
          <w:sz w:val="24"/>
          <w:lang w:eastAsia="es-MX"/>
        </w:rPr>
        <w:t xml:space="preserve">Hágase del conocimiento a través de los Estrados </w:t>
      </w:r>
      <w:r w:rsidR="008D103E" w:rsidRPr="009B7F62">
        <w:rPr>
          <w:rFonts w:ascii="Arial" w:eastAsia="Times New Roman" w:hAnsi="Arial" w:cs="Arial"/>
          <w:bCs/>
          <w:sz w:val="24"/>
          <w:lang w:eastAsia="es-MX"/>
        </w:rPr>
        <w:t xml:space="preserve">físicos y electrónicos </w:t>
      </w:r>
      <w:r w:rsidRPr="009B7F62">
        <w:rPr>
          <w:rFonts w:ascii="Arial" w:eastAsia="Times New Roman" w:hAnsi="Arial" w:cs="Arial"/>
          <w:bCs/>
          <w:sz w:val="24"/>
          <w:lang w:eastAsia="es-MX"/>
        </w:rPr>
        <w:t>de este Tribunal;</w:t>
      </w:r>
    </w:p>
    <w:p w:rsidR="009B7F62" w:rsidRPr="009B7F62" w:rsidRDefault="00EA0786" w:rsidP="00DB793B">
      <w:pPr>
        <w:spacing w:after="0" w:line="360" w:lineRule="auto"/>
        <w:ind w:left="284"/>
        <w:rPr>
          <w:rFonts w:ascii="Arial" w:eastAsia="Times New Roman" w:hAnsi="Arial" w:cs="Arial"/>
          <w:bCs/>
          <w:sz w:val="24"/>
          <w:lang w:eastAsia="es-MX"/>
        </w:rPr>
      </w:pPr>
      <w:r w:rsidRPr="009B7F62">
        <w:rPr>
          <w:rFonts w:ascii="Arial" w:eastAsia="Times New Roman" w:hAnsi="Arial" w:cs="Arial"/>
          <w:bCs/>
          <w:sz w:val="24"/>
          <w:lang w:eastAsia="es-MX"/>
        </w:rPr>
        <w:t>Así lo acordó y firma el Magistrado Presidente de este Tribunal Electoral, ante el Secretario General de Acuerdos, que autoriza y da fe.</w:t>
      </w:r>
    </w:p>
    <w:p w:rsidR="00DB793B" w:rsidRDefault="00DB793B" w:rsidP="00DB793B">
      <w:pPr>
        <w:spacing w:after="0" w:line="360" w:lineRule="auto"/>
        <w:ind w:left="284"/>
        <w:jc w:val="center"/>
        <w:rPr>
          <w:rFonts w:ascii="Arial" w:eastAsia="Times New Roman" w:hAnsi="Arial" w:cs="Arial"/>
          <w:b/>
          <w:bCs/>
          <w:kern w:val="16"/>
          <w:sz w:val="24"/>
          <w:lang w:eastAsia="es-ES"/>
        </w:rPr>
      </w:pPr>
    </w:p>
    <w:p w:rsidR="00DB793B" w:rsidRDefault="00DB793B" w:rsidP="00DB793B">
      <w:pPr>
        <w:spacing w:after="0" w:line="360" w:lineRule="auto"/>
        <w:ind w:left="284"/>
        <w:jc w:val="center"/>
        <w:rPr>
          <w:rFonts w:ascii="Arial" w:eastAsia="Times New Roman" w:hAnsi="Arial" w:cs="Arial"/>
          <w:b/>
          <w:bCs/>
          <w:kern w:val="16"/>
          <w:sz w:val="24"/>
          <w:lang w:eastAsia="es-ES"/>
        </w:rPr>
      </w:pPr>
    </w:p>
    <w:p w:rsidR="00DB793B" w:rsidRDefault="00EA0786" w:rsidP="00DB793B">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Magistrado </w:t>
      </w:r>
      <w:proofErr w:type="gramStart"/>
      <w:r w:rsidRPr="009B7F62">
        <w:rPr>
          <w:rFonts w:ascii="Arial" w:eastAsia="Times New Roman" w:hAnsi="Arial" w:cs="Arial"/>
          <w:b/>
          <w:bCs/>
          <w:kern w:val="16"/>
          <w:sz w:val="24"/>
          <w:lang w:eastAsia="es-ES"/>
        </w:rPr>
        <w:t>Presidente</w:t>
      </w:r>
      <w:proofErr w:type="gramEnd"/>
    </w:p>
    <w:p w:rsidR="00DB793B" w:rsidRDefault="00DB793B" w:rsidP="00DB793B">
      <w:pPr>
        <w:spacing w:after="0" w:line="360" w:lineRule="auto"/>
        <w:ind w:left="284"/>
        <w:jc w:val="center"/>
        <w:rPr>
          <w:rFonts w:ascii="Arial" w:eastAsia="Times New Roman" w:hAnsi="Arial" w:cs="Arial"/>
          <w:b/>
          <w:bCs/>
          <w:kern w:val="16"/>
          <w:sz w:val="24"/>
          <w:lang w:eastAsia="es-ES"/>
        </w:rPr>
      </w:pPr>
      <w:bookmarkStart w:id="4" w:name="_GoBack"/>
      <w:bookmarkEnd w:id="4"/>
    </w:p>
    <w:p w:rsidR="00DB793B" w:rsidRPr="00DB793B" w:rsidRDefault="00DB793B" w:rsidP="00DB793B">
      <w:pPr>
        <w:spacing w:after="0" w:line="360" w:lineRule="auto"/>
        <w:ind w:left="284"/>
        <w:jc w:val="center"/>
        <w:rPr>
          <w:rFonts w:ascii="Arial" w:eastAsia="Times New Roman" w:hAnsi="Arial" w:cs="Arial"/>
          <w:b/>
          <w:bCs/>
          <w:kern w:val="16"/>
          <w:sz w:val="24"/>
          <w:lang w:eastAsia="es-ES"/>
        </w:rPr>
      </w:pPr>
    </w:p>
    <w:p w:rsidR="009B7F62" w:rsidRDefault="00EA0786" w:rsidP="00DB793B">
      <w:pPr>
        <w:spacing w:after="0" w:line="360" w:lineRule="auto"/>
        <w:ind w:left="284"/>
        <w:jc w:val="center"/>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Héctor Salvador Hernández Gallegos</w:t>
      </w:r>
    </w:p>
    <w:p w:rsidR="00DB793B" w:rsidRDefault="00DB793B" w:rsidP="00DB793B">
      <w:pPr>
        <w:spacing w:after="0" w:line="360" w:lineRule="auto"/>
        <w:ind w:left="284"/>
        <w:jc w:val="center"/>
        <w:rPr>
          <w:rFonts w:ascii="Arial" w:eastAsia="Times New Roman" w:hAnsi="Arial" w:cs="Arial"/>
          <w:b/>
          <w:bCs/>
          <w:kern w:val="16"/>
          <w:sz w:val="24"/>
          <w:lang w:eastAsia="es-ES"/>
        </w:rPr>
      </w:pPr>
    </w:p>
    <w:p w:rsidR="00DB793B" w:rsidRDefault="00DB793B" w:rsidP="00DB793B">
      <w:pPr>
        <w:spacing w:after="0" w:line="360" w:lineRule="auto"/>
        <w:ind w:left="284"/>
        <w:jc w:val="center"/>
        <w:rPr>
          <w:rFonts w:ascii="Arial" w:eastAsia="Times New Roman" w:hAnsi="Arial" w:cs="Arial"/>
          <w:b/>
          <w:bCs/>
          <w:kern w:val="16"/>
          <w:sz w:val="24"/>
          <w:lang w:eastAsia="es-ES"/>
        </w:rPr>
      </w:pPr>
    </w:p>
    <w:p w:rsidR="009B7F62" w:rsidRDefault="00EA0786" w:rsidP="00DB793B">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 xml:space="preserve">Secretario General de Acuerdos </w:t>
      </w:r>
    </w:p>
    <w:p w:rsidR="00DB793B" w:rsidRDefault="00DB793B" w:rsidP="00DB793B">
      <w:pPr>
        <w:spacing w:after="0" w:line="360" w:lineRule="auto"/>
        <w:ind w:left="284"/>
        <w:jc w:val="right"/>
        <w:rPr>
          <w:rFonts w:ascii="Arial" w:eastAsia="Times New Roman" w:hAnsi="Arial" w:cs="Arial"/>
          <w:b/>
          <w:bCs/>
          <w:kern w:val="16"/>
          <w:sz w:val="24"/>
          <w:lang w:eastAsia="es-ES"/>
        </w:rPr>
      </w:pPr>
    </w:p>
    <w:p w:rsidR="00DB793B" w:rsidRDefault="00DB793B" w:rsidP="00DB793B">
      <w:pPr>
        <w:spacing w:after="0" w:line="360" w:lineRule="auto"/>
        <w:ind w:left="284"/>
        <w:jc w:val="right"/>
        <w:rPr>
          <w:rFonts w:ascii="Arial" w:eastAsia="Times New Roman" w:hAnsi="Arial" w:cs="Arial"/>
          <w:b/>
          <w:bCs/>
          <w:kern w:val="16"/>
          <w:sz w:val="24"/>
          <w:lang w:eastAsia="es-ES"/>
        </w:rPr>
      </w:pPr>
    </w:p>
    <w:p w:rsidR="004F28DE" w:rsidRPr="009B7F62" w:rsidRDefault="00EA0786" w:rsidP="00B352AE">
      <w:pPr>
        <w:spacing w:after="0" w:line="360" w:lineRule="auto"/>
        <w:ind w:left="284"/>
        <w:jc w:val="right"/>
        <w:rPr>
          <w:rFonts w:ascii="Arial" w:eastAsia="Times New Roman" w:hAnsi="Arial" w:cs="Arial"/>
          <w:b/>
          <w:bCs/>
          <w:kern w:val="16"/>
          <w:sz w:val="24"/>
          <w:lang w:eastAsia="es-ES"/>
        </w:rPr>
      </w:pPr>
      <w:r w:rsidRPr="009B7F62">
        <w:rPr>
          <w:rFonts w:ascii="Arial" w:eastAsia="Times New Roman" w:hAnsi="Arial" w:cs="Arial"/>
          <w:b/>
          <w:bCs/>
          <w:kern w:val="16"/>
          <w:sz w:val="24"/>
          <w:lang w:eastAsia="es-ES"/>
        </w:rPr>
        <w:t>Jesús Ociel Baena Saucedo</w:t>
      </w:r>
    </w:p>
    <w:sectPr w:rsidR="004F28DE" w:rsidRPr="009B7F62" w:rsidSect="009B7F62">
      <w:headerReference w:type="default" r:id="rId7"/>
      <w:pgSz w:w="12240" w:h="20160" w:code="5"/>
      <w:pgMar w:top="283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F0C" w:rsidRDefault="00F01F0C">
      <w:pPr>
        <w:spacing w:after="0" w:line="240" w:lineRule="auto"/>
      </w:pPr>
      <w:r>
        <w:separator/>
      </w:r>
    </w:p>
  </w:endnote>
  <w:endnote w:type="continuationSeparator" w:id="0">
    <w:p w:rsidR="00F01F0C" w:rsidRDefault="00F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F0C" w:rsidRDefault="00F01F0C">
      <w:pPr>
        <w:spacing w:after="0" w:line="240" w:lineRule="auto"/>
      </w:pPr>
      <w:r>
        <w:separator/>
      </w:r>
    </w:p>
  </w:footnote>
  <w:footnote w:type="continuationSeparator" w:id="0">
    <w:p w:rsidR="00F01F0C" w:rsidRDefault="00F01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F01F0C" w:rsidP="00B454EB">
    <w:pPr>
      <w:pStyle w:val="Encabezado"/>
      <w:tabs>
        <w:tab w:val="left" w:pos="5103"/>
      </w:tabs>
      <w:rPr>
        <w:rFonts w:ascii="Century Gothic" w:hAnsi="Century Gothic"/>
        <w:b/>
      </w:rPr>
    </w:pPr>
    <w:sdt>
      <w:sdtPr>
        <w:rPr>
          <w:rFonts w:ascii="Century Gothic" w:hAnsi="Century Gothic"/>
        </w:rPr>
        <w:id w:val="-2095235904"/>
        <w:docPartObj>
          <w:docPartGallery w:val="Page Numbers (Margins)"/>
          <w:docPartUnique/>
        </w:docPartObj>
      </w:sdtPr>
      <w:sdtEndPr/>
      <w:sdtContent>
        <w:r w:rsidR="00F85A1E" w:rsidRPr="00F85A1E">
          <w:rPr>
            <w:rFonts w:ascii="Century Gothic" w:hAnsi="Century Gothic"/>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52"/>
                            <w:szCs w:val="48"/>
                          </w:rPr>
                          <w:id w:val="-1807150379"/>
                          <w:docPartObj>
                            <w:docPartGallery w:val="Page Numbers (Margins)"/>
                            <w:docPartUnique/>
                          </w:docPartObj>
                        </w:sdtPr>
                        <w:sdtEndPr/>
                        <w:sdtContent>
                          <w:p w:rsidR="00F85A1E" w:rsidRPr="00F85A1E" w:rsidRDefault="00F85A1E">
                            <w:pPr>
                              <w:jc w:val="center"/>
                              <w:rPr>
                                <w:rFonts w:ascii="Arial" w:eastAsiaTheme="majorEastAsia" w:hAnsi="Arial" w:cs="Arial"/>
                                <w:sz w:val="96"/>
                                <w:szCs w:val="72"/>
                              </w:rPr>
                            </w:pPr>
                            <w:r w:rsidRPr="00F85A1E">
                              <w:rPr>
                                <w:rFonts w:ascii="Arial" w:eastAsiaTheme="minorEastAsia" w:hAnsi="Arial" w:cs="Arial"/>
                                <w:sz w:val="24"/>
                              </w:rPr>
                              <w:fldChar w:fldCharType="begin"/>
                            </w:r>
                            <w:r w:rsidRPr="00F85A1E">
                              <w:rPr>
                                <w:rFonts w:ascii="Arial" w:hAnsi="Arial" w:cs="Arial"/>
                                <w:sz w:val="24"/>
                              </w:rPr>
                              <w:instrText>PAGE  \* MERGEFORMAT</w:instrText>
                            </w:r>
                            <w:r w:rsidRPr="00F85A1E">
                              <w:rPr>
                                <w:rFonts w:ascii="Arial" w:eastAsiaTheme="minorEastAsia" w:hAnsi="Arial" w:cs="Arial"/>
                                <w:sz w:val="24"/>
                              </w:rPr>
                              <w:fldChar w:fldCharType="separate"/>
                            </w:r>
                            <w:r w:rsidRPr="00F85A1E">
                              <w:rPr>
                                <w:rFonts w:ascii="Arial" w:eastAsiaTheme="majorEastAsia" w:hAnsi="Arial" w:cs="Arial"/>
                                <w:sz w:val="52"/>
                                <w:szCs w:val="48"/>
                                <w:lang w:val="es-ES"/>
                              </w:rPr>
                              <w:t>2</w:t>
                            </w:r>
                            <w:r w:rsidRPr="00F85A1E">
                              <w:rPr>
                                <w:rFonts w:ascii="Arial" w:eastAsiaTheme="majorEastAsia" w:hAnsi="Arial" w:cs="Arial"/>
                                <w:sz w:val="52"/>
                                <w:szCs w:val="48"/>
                              </w:rPr>
                              <w:fldChar w:fldCharType="end"/>
                            </w:r>
                          </w:p>
                        </w:sdtContent>
                      </w:sdt>
                    </w:txbxContent>
                  </v:textbox>
                  <w10:wrap anchorx="margin" anchory="page"/>
                </v:rect>
              </w:pict>
            </mc:Fallback>
          </mc:AlternateContent>
        </w:r>
      </w:sdtContent>
    </w:sdt>
    <w:r w:rsidR="009A15B4">
      <w:rPr>
        <w:rFonts w:ascii="Century Gothic" w:hAnsi="Century Gothic"/>
      </w:rPr>
      <w:t xml:space="preserve"> </w:t>
    </w:r>
    <w:r w:rsidR="009A15B4" w:rsidRPr="00A46BD3">
      <w:rPr>
        <w:rFonts w:ascii="Century Gothic" w:hAnsi="Century Gothic"/>
      </w:rPr>
      <w:t xml:space="preserve">                                                               </w:t>
    </w:r>
    <w:r w:rsidR="009A15B4">
      <w:rPr>
        <w:rFonts w:ascii="Century Gothic" w:hAnsi="Century Gothic"/>
      </w:rPr>
      <w:t xml:space="preserve">                  </w:t>
    </w:r>
  </w:p>
  <w:p w:rsidR="00F85A1E" w:rsidRDefault="009A15B4" w:rsidP="00B454EB">
    <w:pPr>
      <w:pStyle w:val="Encabezado"/>
      <w:rPr>
        <w:rFonts w:ascii="Century Gothic" w:hAnsi="Century Gothic"/>
        <w:b/>
      </w:rPr>
    </w:pPr>
    <w:r>
      <w:rPr>
        <w:rFonts w:ascii="Century Gothic" w:hAnsi="Century Gothic"/>
        <w:b/>
      </w:rPr>
      <w:tab/>
    </w:r>
  </w:p>
  <w:p w:rsidR="00F85A1E" w:rsidRDefault="00F85A1E" w:rsidP="00B454EB">
    <w:pPr>
      <w:pStyle w:val="Encabezado"/>
      <w:rPr>
        <w:rFonts w:ascii="Century Gothic" w:hAnsi="Century Gothic"/>
        <w:b/>
      </w:rPr>
    </w:pPr>
  </w:p>
  <w:p w:rsidR="009A15B4" w:rsidRPr="00A46BD3" w:rsidRDefault="009A15B4" w:rsidP="00B454EB">
    <w:pPr>
      <w:pStyle w:val="Encabezado"/>
      <w:rPr>
        <w:rFonts w:ascii="Century Gothic" w:hAnsi="Century Gothic"/>
        <w:b/>
      </w:rPr>
    </w:pPr>
    <w:r>
      <w:rPr>
        <w:rFonts w:ascii="Century Gothic" w:hAnsi="Century Gothic"/>
        <w:b/>
      </w:rPr>
      <w:tab/>
    </w:r>
  </w:p>
  <w:p w:rsidR="00F85A1E" w:rsidRPr="00A46BD3" w:rsidRDefault="00F85A1E" w:rsidP="00F85A1E">
    <w:pPr>
      <w:pStyle w:val="Encabezado"/>
      <w:jc w:val="right"/>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align>left</wp:align>
          </wp:positionH>
          <wp:positionV relativeFrom="paragraph">
            <wp:posOffset>10160</wp:posOffset>
          </wp:positionV>
          <wp:extent cx="1180011" cy="1404745"/>
          <wp:effectExtent l="0" t="0" r="127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Pr="00A46BD3">
      <w:rPr>
        <w:rFonts w:ascii="Century Gothic" w:hAnsi="Century Gothic"/>
        <w:b/>
      </w:rPr>
      <w:t xml:space="preserve">                  </w:t>
    </w:r>
    <w:r>
      <w:rPr>
        <w:rFonts w:ascii="Century Gothic" w:hAnsi="Century Gothic"/>
        <w:b/>
      </w:rPr>
      <w:t>Acuerdo de Turno de Presidencia</w:t>
    </w:r>
  </w:p>
  <w:p w:rsidR="00F85A1E" w:rsidRDefault="009A15B4" w:rsidP="00B454EB">
    <w:pPr>
      <w:pStyle w:val="Encabezado"/>
      <w:jc w:val="right"/>
      <w:rPr>
        <w:rFonts w:ascii="Century Gothic" w:hAnsi="Century Gothic"/>
        <w:b/>
      </w:rPr>
    </w:pPr>
    <w:r w:rsidRPr="00A46BD3">
      <w:rPr>
        <w:rFonts w:ascii="Century Gothic" w:hAnsi="Century Gothic"/>
        <w:b/>
      </w:rPr>
      <w:t xml:space="preserve">                                                                  </w:t>
    </w: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p w:rsidR="00B352AE" w:rsidRDefault="00B352AE" w:rsidP="00B454EB">
    <w:pPr>
      <w:pStyle w:val="Encabezado"/>
      <w:jc w:val="right"/>
      <w:rPr>
        <w:rFonts w:ascii="Century Gothic" w:hAnsi="Century Gothic"/>
        <w:b/>
      </w:rPr>
    </w:pPr>
  </w:p>
  <w:p w:rsidR="00F85A1E" w:rsidRDefault="00F85A1E" w:rsidP="00B454EB">
    <w:pPr>
      <w:pStyle w:val="Encabezado"/>
      <w:jc w:val="right"/>
      <w:rPr>
        <w:rFonts w:ascii="Century Gothic" w:hAnsi="Century Gothic"/>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3346D"/>
    <w:multiLevelType w:val="hybridMultilevel"/>
    <w:tmpl w:val="A5C04BD4"/>
    <w:lvl w:ilvl="0" w:tplc="080A0013">
      <w:start w:val="1"/>
      <w:numFmt w:val="upperRoman"/>
      <w:lvlText w:val="%1."/>
      <w:lvlJc w:val="righ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72BC75C9"/>
    <w:multiLevelType w:val="hybridMultilevel"/>
    <w:tmpl w:val="34B2ED0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60C06"/>
    <w:rsid w:val="00073BAC"/>
    <w:rsid w:val="00077E9E"/>
    <w:rsid w:val="00085376"/>
    <w:rsid w:val="00092CCA"/>
    <w:rsid w:val="00096150"/>
    <w:rsid w:val="000B7A7F"/>
    <w:rsid w:val="000D3A66"/>
    <w:rsid w:val="000D63F8"/>
    <w:rsid w:val="0010305B"/>
    <w:rsid w:val="00104E3B"/>
    <w:rsid w:val="00116626"/>
    <w:rsid w:val="00135371"/>
    <w:rsid w:val="00145CCE"/>
    <w:rsid w:val="00152593"/>
    <w:rsid w:val="00157568"/>
    <w:rsid w:val="001614E7"/>
    <w:rsid w:val="00167D27"/>
    <w:rsid w:val="00182C75"/>
    <w:rsid w:val="001940DE"/>
    <w:rsid w:val="00197565"/>
    <w:rsid w:val="001B4605"/>
    <w:rsid w:val="001D415F"/>
    <w:rsid w:val="001D7C61"/>
    <w:rsid w:val="001E38F2"/>
    <w:rsid w:val="001F0087"/>
    <w:rsid w:val="001F4635"/>
    <w:rsid w:val="00202DA9"/>
    <w:rsid w:val="00204E35"/>
    <w:rsid w:val="00210947"/>
    <w:rsid w:val="00234111"/>
    <w:rsid w:val="00234A46"/>
    <w:rsid w:val="00237AF8"/>
    <w:rsid w:val="002677EB"/>
    <w:rsid w:val="00274BEC"/>
    <w:rsid w:val="00280331"/>
    <w:rsid w:val="002A7117"/>
    <w:rsid w:val="002C589F"/>
    <w:rsid w:val="002E5EEA"/>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4083"/>
    <w:rsid w:val="003D5965"/>
    <w:rsid w:val="003E77F7"/>
    <w:rsid w:val="004065B5"/>
    <w:rsid w:val="00411A40"/>
    <w:rsid w:val="004243E6"/>
    <w:rsid w:val="00424CCE"/>
    <w:rsid w:val="00436485"/>
    <w:rsid w:val="00451C61"/>
    <w:rsid w:val="00460D3E"/>
    <w:rsid w:val="004754EA"/>
    <w:rsid w:val="00484CFA"/>
    <w:rsid w:val="004865BC"/>
    <w:rsid w:val="0048767A"/>
    <w:rsid w:val="004919BA"/>
    <w:rsid w:val="004A2F32"/>
    <w:rsid w:val="004A3D82"/>
    <w:rsid w:val="004B0B16"/>
    <w:rsid w:val="004E121B"/>
    <w:rsid w:val="004E2303"/>
    <w:rsid w:val="004F2580"/>
    <w:rsid w:val="004F28DE"/>
    <w:rsid w:val="00503218"/>
    <w:rsid w:val="00513A8F"/>
    <w:rsid w:val="005229EB"/>
    <w:rsid w:val="00534E73"/>
    <w:rsid w:val="00570933"/>
    <w:rsid w:val="005830DE"/>
    <w:rsid w:val="00583D12"/>
    <w:rsid w:val="005A43C4"/>
    <w:rsid w:val="005B42D5"/>
    <w:rsid w:val="00630AA8"/>
    <w:rsid w:val="006318CE"/>
    <w:rsid w:val="00633DB5"/>
    <w:rsid w:val="00642118"/>
    <w:rsid w:val="00656201"/>
    <w:rsid w:val="00663349"/>
    <w:rsid w:val="006666F5"/>
    <w:rsid w:val="0067519B"/>
    <w:rsid w:val="006C0EF8"/>
    <w:rsid w:val="006F383C"/>
    <w:rsid w:val="00704A7A"/>
    <w:rsid w:val="00731DF0"/>
    <w:rsid w:val="00736B99"/>
    <w:rsid w:val="00797F14"/>
    <w:rsid w:val="007A3C14"/>
    <w:rsid w:val="007B7C89"/>
    <w:rsid w:val="007C4839"/>
    <w:rsid w:val="007C7195"/>
    <w:rsid w:val="007C7A8A"/>
    <w:rsid w:val="007D5E44"/>
    <w:rsid w:val="00804E86"/>
    <w:rsid w:val="00814146"/>
    <w:rsid w:val="00823C83"/>
    <w:rsid w:val="00840760"/>
    <w:rsid w:val="00844E8F"/>
    <w:rsid w:val="00877D5E"/>
    <w:rsid w:val="00877F8D"/>
    <w:rsid w:val="00887CA3"/>
    <w:rsid w:val="008973F1"/>
    <w:rsid w:val="008A6059"/>
    <w:rsid w:val="008B0B2F"/>
    <w:rsid w:val="008C5693"/>
    <w:rsid w:val="008C625F"/>
    <w:rsid w:val="008D103E"/>
    <w:rsid w:val="008E1988"/>
    <w:rsid w:val="00900FBB"/>
    <w:rsid w:val="00902C44"/>
    <w:rsid w:val="00910059"/>
    <w:rsid w:val="00911103"/>
    <w:rsid w:val="009119A7"/>
    <w:rsid w:val="00915100"/>
    <w:rsid w:val="009410D5"/>
    <w:rsid w:val="00946C54"/>
    <w:rsid w:val="00955CAA"/>
    <w:rsid w:val="009637BD"/>
    <w:rsid w:val="00973697"/>
    <w:rsid w:val="009741F4"/>
    <w:rsid w:val="009842C3"/>
    <w:rsid w:val="009A15B4"/>
    <w:rsid w:val="009B7F62"/>
    <w:rsid w:val="009D456B"/>
    <w:rsid w:val="009F21F0"/>
    <w:rsid w:val="00A0511D"/>
    <w:rsid w:val="00A078CA"/>
    <w:rsid w:val="00A23661"/>
    <w:rsid w:val="00A2511A"/>
    <w:rsid w:val="00A312D5"/>
    <w:rsid w:val="00A41FC0"/>
    <w:rsid w:val="00A43031"/>
    <w:rsid w:val="00A500DB"/>
    <w:rsid w:val="00A52115"/>
    <w:rsid w:val="00A644A4"/>
    <w:rsid w:val="00A770DD"/>
    <w:rsid w:val="00AD0A74"/>
    <w:rsid w:val="00AD10F3"/>
    <w:rsid w:val="00AE4217"/>
    <w:rsid w:val="00B01A27"/>
    <w:rsid w:val="00B0678A"/>
    <w:rsid w:val="00B20C78"/>
    <w:rsid w:val="00B352AE"/>
    <w:rsid w:val="00B367E0"/>
    <w:rsid w:val="00B454EB"/>
    <w:rsid w:val="00B469A5"/>
    <w:rsid w:val="00B47F57"/>
    <w:rsid w:val="00B500C3"/>
    <w:rsid w:val="00B62324"/>
    <w:rsid w:val="00B65578"/>
    <w:rsid w:val="00BB4501"/>
    <w:rsid w:val="00BB6237"/>
    <w:rsid w:val="00BC1612"/>
    <w:rsid w:val="00BC6702"/>
    <w:rsid w:val="00C118F5"/>
    <w:rsid w:val="00C249EB"/>
    <w:rsid w:val="00C41CC4"/>
    <w:rsid w:val="00CB2BFD"/>
    <w:rsid w:val="00CB5739"/>
    <w:rsid w:val="00CC41E4"/>
    <w:rsid w:val="00CD001C"/>
    <w:rsid w:val="00CE7F67"/>
    <w:rsid w:val="00CF044D"/>
    <w:rsid w:val="00D00A0A"/>
    <w:rsid w:val="00D022C5"/>
    <w:rsid w:val="00D10EDD"/>
    <w:rsid w:val="00D20A30"/>
    <w:rsid w:val="00D536E2"/>
    <w:rsid w:val="00D56AF4"/>
    <w:rsid w:val="00D65B43"/>
    <w:rsid w:val="00D708C5"/>
    <w:rsid w:val="00D91B23"/>
    <w:rsid w:val="00DB793B"/>
    <w:rsid w:val="00DC7D65"/>
    <w:rsid w:val="00DD0AD7"/>
    <w:rsid w:val="00DE217B"/>
    <w:rsid w:val="00E36031"/>
    <w:rsid w:val="00E414B6"/>
    <w:rsid w:val="00E4560B"/>
    <w:rsid w:val="00E606C7"/>
    <w:rsid w:val="00E65A5C"/>
    <w:rsid w:val="00E66168"/>
    <w:rsid w:val="00E84296"/>
    <w:rsid w:val="00E84BFF"/>
    <w:rsid w:val="00EA0786"/>
    <w:rsid w:val="00EE0FCE"/>
    <w:rsid w:val="00EE792F"/>
    <w:rsid w:val="00F01F0C"/>
    <w:rsid w:val="00F106D9"/>
    <w:rsid w:val="00F15165"/>
    <w:rsid w:val="00F2752E"/>
    <w:rsid w:val="00F34DAE"/>
    <w:rsid w:val="00F411A0"/>
    <w:rsid w:val="00F43C3C"/>
    <w:rsid w:val="00F43F88"/>
    <w:rsid w:val="00F45801"/>
    <w:rsid w:val="00F72122"/>
    <w:rsid w:val="00F85A1E"/>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2AEC"/>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0D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2018-07-14T19:09:00Z</cp:lastPrinted>
  <dcterms:created xsi:type="dcterms:W3CDTF">2018-07-18T14:40:00Z</dcterms:created>
  <dcterms:modified xsi:type="dcterms:W3CDTF">2018-07-18T14:40:00Z</dcterms:modified>
</cp:coreProperties>
</file>